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14B64">
        <w:rPr>
          <w:sz w:val="28"/>
        </w:rPr>
        <w:t>Tabelle ausfüllen</w:t>
      </w:r>
    </w:p>
    <w:p w:rsidR="00694A63" w:rsidRPr="00694A63" w:rsidRDefault="00694A63">
      <w:pPr>
        <w:pStyle w:val="IQB-Teilaufgabentitel"/>
        <w:rPr>
          <w:b/>
        </w:rPr>
      </w:pPr>
      <w:r w:rsidRPr="00694A63">
        <w:rPr>
          <w:b/>
        </w:rPr>
        <w:t>Merkmal</w:t>
      </w:r>
      <w:r w:rsidR="00220FFD">
        <w:rPr>
          <w:b/>
        </w:rPr>
        <w:t>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C14B64" w:rsidTr="00C14B64">
        <w:tc>
          <w:tcPr>
            <w:tcW w:w="2466" w:type="dxa"/>
            <w:tcBorders>
              <w:top w:val="single" w:sz="4" w:space="0" w:color="auto"/>
            </w:tcBorders>
            <w:vAlign w:val="center"/>
          </w:tcPr>
          <w:p w:rsidR="00C14B64" w:rsidRDefault="00C14B64" w:rsidP="00430685">
            <w:pPr>
              <w:pStyle w:val="IQB-Merkmal"/>
            </w:pPr>
            <w:r>
              <w:t>Leitidee</w:t>
            </w:r>
          </w:p>
        </w:tc>
        <w:tc>
          <w:tcPr>
            <w:tcW w:w="6604" w:type="dxa"/>
            <w:tcBorders>
              <w:top w:val="single" w:sz="4" w:space="0" w:color="auto"/>
            </w:tcBorders>
          </w:tcPr>
          <w:p w:rsidR="00C14B64" w:rsidRDefault="00C14B64" w:rsidP="00430685">
            <w:pPr>
              <w:pStyle w:val="IQB-Merkmalswert"/>
            </w:pPr>
            <w:r>
              <w:t>4. Funktionaler Zusammenhang</w:t>
            </w:r>
          </w:p>
        </w:tc>
      </w:tr>
      <w:tr w:rsidR="00C14B64" w:rsidTr="00C14B64">
        <w:tc>
          <w:tcPr>
            <w:tcW w:w="2466" w:type="dxa"/>
            <w:vAlign w:val="center"/>
          </w:tcPr>
          <w:p w:rsidR="00C14B64" w:rsidRDefault="00C14B64" w:rsidP="00430685">
            <w:pPr>
              <w:pStyle w:val="IQB-Merkmal"/>
            </w:pPr>
            <w:r>
              <w:t>Allgemeine Kompetenz</w:t>
            </w:r>
          </w:p>
        </w:tc>
        <w:tc>
          <w:tcPr>
            <w:tcW w:w="6604" w:type="dxa"/>
          </w:tcPr>
          <w:p w:rsidR="00C14B64" w:rsidRDefault="00C14B64" w:rsidP="00430685">
            <w:pPr>
              <w:pStyle w:val="IQB-Merkmalswert"/>
            </w:pPr>
            <w:r>
              <w:t>Probleme mathematisch lösen (K2),</w:t>
            </w:r>
          </w:p>
          <w:p w:rsidR="00C14B64" w:rsidRDefault="00C14B64" w:rsidP="00430685">
            <w:pPr>
              <w:pStyle w:val="IQB-Merkmalswert"/>
            </w:pPr>
            <w:r>
              <w:t>Mathematische Darstellungen verwenden (K4)</w:t>
            </w:r>
          </w:p>
        </w:tc>
      </w:tr>
      <w:tr w:rsidR="00C14B64" w:rsidTr="00C14B64">
        <w:tc>
          <w:tcPr>
            <w:tcW w:w="2466" w:type="dxa"/>
            <w:vAlign w:val="center"/>
          </w:tcPr>
          <w:p w:rsidR="00C14B64" w:rsidRDefault="00C14B64" w:rsidP="00430685">
            <w:pPr>
              <w:pStyle w:val="IQB-Merkmal"/>
            </w:pPr>
            <w:r>
              <w:t>Anforderungsbereich</w:t>
            </w:r>
          </w:p>
        </w:tc>
        <w:tc>
          <w:tcPr>
            <w:tcW w:w="6604" w:type="dxa"/>
          </w:tcPr>
          <w:p w:rsidR="00C14B64" w:rsidRDefault="00C14B64" w:rsidP="00430685">
            <w:pPr>
              <w:pStyle w:val="IQB-Merkmalswert"/>
            </w:pPr>
            <w:r>
              <w:t>I</w:t>
            </w:r>
          </w:p>
        </w:tc>
      </w:tr>
      <w:tr w:rsidR="00C14B64" w:rsidTr="00C14B64">
        <w:tc>
          <w:tcPr>
            <w:tcW w:w="2466" w:type="dxa"/>
            <w:tcBorders>
              <w:bottom w:val="single" w:sz="4" w:space="0" w:color="auto"/>
            </w:tcBorders>
            <w:vAlign w:val="center"/>
          </w:tcPr>
          <w:p w:rsidR="00C14B64" w:rsidRDefault="00C14B64" w:rsidP="00430685">
            <w:pPr>
              <w:pStyle w:val="IQB-Merkmal"/>
            </w:pPr>
            <w:r>
              <w:t>Kompetenzstufe</w:t>
            </w:r>
          </w:p>
        </w:tc>
        <w:tc>
          <w:tcPr>
            <w:tcW w:w="6604" w:type="dxa"/>
            <w:tcBorders>
              <w:bottom w:val="single" w:sz="4" w:space="0" w:color="auto"/>
            </w:tcBorders>
          </w:tcPr>
          <w:p w:rsidR="00C14B64" w:rsidRDefault="00C14B64" w:rsidP="00430685">
            <w:pPr>
              <w:pStyle w:val="IQB-Merkmalswert"/>
            </w:pPr>
            <w:r>
              <w:t>1a</w:t>
            </w:r>
          </w:p>
        </w:tc>
      </w:tr>
    </w:tbl>
    <w:p w:rsidR="00694A63" w:rsidRPr="00694A63" w:rsidRDefault="00694A63" w:rsidP="00694A63">
      <w:pPr>
        <w:pStyle w:val="IQB-Teilaufgabentitel"/>
        <w:rPr>
          <w:b/>
        </w:rPr>
      </w:pPr>
      <w:r w:rsidRPr="00694A63">
        <w:rPr>
          <w:b/>
        </w:rPr>
        <w:t>Aufgabenbezogener Kommentar</w:t>
      </w:r>
    </w:p>
    <w:p w:rsidR="00C14B64" w:rsidRPr="000278D0" w:rsidRDefault="00C14B64" w:rsidP="00C14B64">
      <w:pPr>
        <w:pStyle w:val="IQB-Standard"/>
        <w:rPr>
          <w:sz w:val="22"/>
          <w:szCs w:val="22"/>
        </w:rPr>
      </w:pPr>
      <w:r w:rsidRPr="000278D0">
        <w:rPr>
          <w:sz w:val="22"/>
          <w:szCs w:val="22"/>
        </w:rPr>
        <w:t>In der Aufgabe geht es um eine in tabellarischer Form gegebene Zuordnung, weshalb sie der Leitidee Funktionaler Zusammenhang (L4) zugeordnet wird.</w:t>
      </w:r>
    </w:p>
    <w:p w:rsidR="00C14B64" w:rsidRPr="000278D0" w:rsidRDefault="00C14B64" w:rsidP="00C14B64">
      <w:pPr>
        <w:pStyle w:val="IQB-Standard"/>
        <w:rPr>
          <w:sz w:val="22"/>
          <w:szCs w:val="22"/>
        </w:rPr>
      </w:pPr>
      <w:r w:rsidRPr="000278D0">
        <w:rPr>
          <w:sz w:val="22"/>
          <w:szCs w:val="22"/>
        </w:rPr>
        <w:t>Die Lernenden sollen die Wertetabelle (K4) um einen fehlenden Wert ergänzen. Hierzu müssen sie die proportionale Zuordnung als naheliegende Strategie identifizieren und auswählen (K2).</w:t>
      </w:r>
    </w:p>
    <w:p w:rsidR="00C14B64" w:rsidRPr="000278D0" w:rsidRDefault="00C14B64" w:rsidP="00C14B64">
      <w:pPr>
        <w:pStyle w:val="IQB-Standard"/>
        <w:rPr>
          <w:sz w:val="22"/>
          <w:szCs w:val="22"/>
        </w:rPr>
      </w:pPr>
      <w:r w:rsidRPr="000278D0">
        <w:rPr>
          <w:sz w:val="22"/>
          <w:szCs w:val="22"/>
        </w:rPr>
        <w:t xml:space="preserve">Diese Aufgabe wird aufgrund ihrer </w:t>
      </w:r>
      <w:proofErr w:type="spellStart"/>
      <w:r w:rsidRPr="000278D0">
        <w:rPr>
          <w:sz w:val="22"/>
          <w:szCs w:val="22"/>
        </w:rPr>
        <w:t>Einschrittigkeit</w:t>
      </w:r>
      <w:proofErr w:type="spellEnd"/>
      <w:r w:rsidRPr="000278D0">
        <w:rPr>
          <w:sz w:val="22"/>
          <w:szCs w:val="22"/>
        </w:rPr>
        <w:t xml:space="preserve"> und des einfachen gegebenen Zahlenmaterials dem Anforderungsbereich I zugewiesen.</w:t>
      </w:r>
    </w:p>
    <w:p w:rsidR="00694A63" w:rsidRPr="00694A63" w:rsidRDefault="00694A63" w:rsidP="00694A63">
      <w:pPr>
        <w:pStyle w:val="IQB-Teilaufgabentitel"/>
        <w:rPr>
          <w:b/>
        </w:rPr>
      </w:pPr>
      <w:r w:rsidRPr="00694A63">
        <w:rPr>
          <w:b/>
        </w:rPr>
        <w:t>Anregungen für den Unterricht</w:t>
      </w:r>
    </w:p>
    <w:p w:rsidR="00C14B64" w:rsidRPr="00C14B64" w:rsidRDefault="00C14B64" w:rsidP="00C14B64">
      <w:pPr>
        <w:spacing w:before="60"/>
        <w:rPr>
          <w:rFonts w:ascii="Arial" w:hAnsi="Arial" w:cs="Arial"/>
          <w:sz w:val="22"/>
          <w:szCs w:val="22"/>
        </w:rPr>
      </w:pPr>
      <w:r w:rsidRPr="00C14B64">
        <w:rPr>
          <w:rFonts w:ascii="Arial" w:hAnsi="Arial" w:cs="Arial"/>
          <w:sz w:val="22"/>
          <w:szCs w:val="22"/>
        </w:rPr>
        <w:t>Anhand von Schülerlösungen kann verdeutlicht werden, welche Schwierigkeiten bei der Bearbeitung derartiger Aufgaben auftreten.</w:t>
      </w:r>
    </w:p>
    <w:p w:rsidR="00C14B64" w:rsidRPr="00C14B64" w:rsidRDefault="00C14B64" w:rsidP="00C14B64">
      <w:pPr>
        <w:spacing w:before="60"/>
        <w:rPr>
          <w:rFonts w:ascii="Arial" w:hAnsi="Arial" w:cs="Arial"/>
          <w:sz w:val="22"/>
          <w:szCs w:val="22"/>
        </w:rPr>
      </w:pPr>
    </w:p>
    <w:p w:rsidR="00C14B64" w:rsidRPr="00C14B64" w:rsidRDefault="00C14B64" w:rsidP="00C14B64">
      <w:pPr>
        <w:spacing w:before="60"/>
        <w:rPr>
          <w:rFonts w:ascii="Arial" w:hAnsi="Arial" w:cs="Arial"/>
          <w:sz w:val="22"/>
          <w:szCs w:val="22"/>
        </w:rPr>
      </w:pPr>
      <w:r w:rsidRPr="00C14B64">
        <w:rPr>
          <w:rFonts w:ascii="Arial" w:hAnsi="Arial" w:cs="Arial"/>
          <w:b/>
          <w:noProof/>
        </w:rPr>
        <w:drawing>
          <wp:inline distT="0" distB="0" distL="0" distR="0">
            <wp:extent cx="4603750" cy="574040"/>
            <wp:effectExtent l="0" t="0" r="6350" b="0"/>
            <wp:docPr id="6" name="Grafik 6" descr="Beschreibung: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8" descr="Beschreibung: 2.PNG"/>
                    <pic:cNvPicPr>
                      <a:picLocks noChangeAspect="1" noChangeArrowheads="1"/>
                    </pic:cNvPicPr>
                  </pic:nvPicPr>
                  <pic:blipFill>
                    <a:blip r:embed="rId8">
                      <a:extLst>
                        <a:ext uri="{28A0092B-C50C-407E-A947-70E740481C1C}">
                          <a14:useLocalDpi xmlns:a14="http://schemas.microsoft.com/office/drawing/2010/main" val="0"/>
                        </a:ext>
                      </a:extLst>
                    </a:blip>
                    <a:srcRect l="7542" t="59341" r="15840" b="12158"/>
                    <a:stretch>
                      <a:fillRect/>
                    </a:stretch>
                  </pic:blipFill>
                  <pic:spPr bwMode="auto">
                    <a:xfrm>
                      <a:off x="0" y="0"/>
                      <a:ext cx="4603750" cy="574040"/>
                    </a:xfrm>
                    <a:prstGeom prst="rect">
                      <a:avLst/>
                    </a:prstGeom>
                    <a:noFill/>
                    <a:ln>
                      <a:noFill/>
                    </a:ln>
                  </pic:spPr>
                </pic:pic>
              </a:graphicData>
            </a:graphic>
          </wp:inline>
        </w:drawing>
      </w:r>
    </w:p>
    <w:p w:rsidR="00C14B64" w:rsidRPr="00C14B64" w:rsidRDefault="00C14B64" w:rsidP="00C14B64">
      <w:pPr>
        <w:spacing w:before="60"/>
        <w:rPr>
          <w:rFonts w:ascii="Arial" w:hAnsi="Arial" w:cs="Arial"/>
        </w:rPr>
      </w:pPr>
    </w:p>
    <w:p w:rsidR="00C14B64" w:rsidRPr="00C14B64" w:rsidRDefault="00C14B64" w:rsidP="00C14B64">
      <w:pPr>
        <w:spacing w:before="60"/>
        <w:rPr>
          <w:rFonts w:ascii="Arial" w:hAnsi="Arial" w:cs="Arial"/>
          <w:sz w:val="22"/>
          <w:szCs w:val="22"/>
        </w:rPr>
      </w:pPr>
      <w:r w:rsidRPr="00C14B64">
        <w:rPr>
          <w:rFonts w:ascii="Arial" w:hAnsi="Arial" w:cs="Arial"/>
          <w:sz w:val="22"/>
          <w:szCs w:val="22"/>
        </w:rPr>
        <w:t>In Schülerlösung 1 wurde vermutlich nur die Preissteigerung von 5 Euro zwischen den ersten beiden Spalten mit Zahlen betrachtet und nicht bedacht, dass die Masse zwischen der vorletzten und letzten Spalte</w:t>
      </w:r>
      <w:bookmarkStart w:id="0" w:name="_GoBack"/>
      <w:bookmarkEnd w:id="0"/>
      <w:r w:rsidRPr="00C14B64">
        <w:rPr>
          <w:rFonts w:ascii="Arial" w:hAnsi="Arial" w:cs="Arial"/>
          <w:sz w:val="22"/>
          <w:szCs w:val="22"/>
        </w:rPr>
        <w:t xml:space="preserve"> um </w:t>
      </w:r>
      <w:smartTag w:uri="urn:schemas-microsoft-com:office:smarttags" w:element="metricconverter">
        <w:smartTagPr>
          <w:attr w:name="ProductID" w:val="2 kg"/>
        </w:smartTagPr>
        <w:r w:rsidRPr="00C14B64">
          <w:rPr>
            <w:rFonts w:ascii="Arial" w:hAnsi="Arial" w:cs="Arial"/>
            <w:sz w:val="22"/>
            <w:szCs w:val="22"/>
          </w:rPr>
          <w:t>2 kg</w:t>
        </w:r>
      </w:smartTag>
      <w:r w:rsidRPr="00C14B64">
        <w:rPr>
          <w:rFonts w:ascii="Arial" w:hAnsi="Arial" w:cs="Arial"/>
          <w:sz w:val="22"/>
          <w:szCs w:val="22"/>
        </w:rPr>
        <w:t xml:space="preserve"> steigt. Eine einfache wie bekannte Möglichkeit zur Abhilfe besteht darin, die Unterschiede und Veränderungen  zwischen den einzelnen Werten jeweils mit Pfeilen und Angaben zu Rechnungen zu verdeutlichen.</w:t>
      </w:r>
    </w:p>
    <w:p w:rsidR="00C14B64" w:rsidRPr="00C14B64" w:rsidRDefault="00C14B64" w:rsidP="00C14B64">
      <w:pPr>
        <w:spacing w:before="60"/>
        <w:rPr>
          <w:rFonts w:ascii="Arial" w:hAnsi="Arial" w:cs="Arial"/>
          <w:sz w:val="22"/>
          <w:szCs w:val="22"/>
        </w:rPr>
      </w:pPr>
    </w:p>
    <w:p w:rsidR="00C14B64" w:rsidRPr="00C14B64" w:rsidRDefault="00C14B64" w:rsidP="00C14B64">
      <w:pPr>
        <w:spacing w:before="60"/>
        <w:rPr>
          <w:rFonts w:ascii="Arial" w:hAnsi="Arial" w:cs="Arial"/>
          <w:sz w:val="22"/>
          <w:szCs w:val="22"/>
        </w:rPr>
      </w:pPr>
      <w:r w:rsidRPr="00C14B64">
        <w:rPr>
          <w:rFonts w:ascii="Arial" w:hAnsi="Arial" w:cs="Arial"/>
          <w:b/>
          <w:noProof/>
        </w:rPr>
        <w:drawing>
          <wp:inline distT="0" distB="0" distL="0" distR="0">
            <wp:extent cx="4508500" cy="542290"/>
            <wp:effectExtent l="0" t="0" r="6350" b="0"/>
            <wp:docPr id="3" name="Grafik 3" descr="Beschreibung: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9" descr="Beschreibung: 6.PNG"/>
                    <pic:cNvPicPr>
                      <a:picLocks noChangeAspect="1" noChangeArrowheads="1"/>
                    </pic:cNvPicPr>
                  </pic:nvPicPr>
                  <pic:blipFill>
                    <a:blip r:embed="rId9">
                      <a:extLst>
                        <a:ext uri="{28A0092B-C50C-407E-A947-70E740481C1C}">
                          <a14:useLocalDpi xmlns:a14="http://schemas.microsoft.com/office/drawing/2010/main" val="0"/>
                        </a:ext>
                      </a:extLst>
                    </a:blip>
                    <a:srcRect l="7065" t="59561" r="16380" b="11287"/>
                    <a:stretch>
                      <a:fillRect/>
                    </a:stretch>
                  </pic:blipFill>
                  <pic:spPr bwMode="auto">
                    <a:xfrm>
                      <a:off x="0" y="0"/>
                      <a:ext cx="4508500" cy="542290"/>
                    </a:xfrm>
                    <a:prstGeom prst="rect">
                      <a:avLst/>
                    </a:prstGeom>
                    <a:noFill/>
                    <a:ln>
                      <a:noFill/>
                    </a:ln>
                  </pic:spPr>
                </pic:pic>
              </a:graphicData>
            </a:graphic>
          </wp:inline>
        </w:drawing>
      </w:r>
    </w:p>
    <w:p w:rsidR="00C14B64" w:rsidRPr="00C14B64" w:rsidRDefault="00C14B64" w:rsidP="00C14B64">
      <w:pPr>
        <w:spacing w:before="60"/>
        <w:rPr>
          <w:rFonts w:ascii="Arial" w:hAnsi="Arial" w:cs="Arial"/>
          <w:sz w:val="22"/>
          <w:szCs w:val="22"/>
        </w:rPr>
      </w:pPr>
    </w:p>
    <w:p w:rsidR="00C14B64" w:rsidRPr="00C14B64" w:rsidRDefault="00C14B64" w:rsidP="00C14B64">
      <w:pPr>
        <w:spacing w:before="60"/>
        <w:rPr>
          <w:rFonts w:ascii="Arial" w:hAnsi="Arial" w:cs="Arial"/>
          <w:sz w:val="22"/>
          <w:szCs w:val="22"/>
        </w:rPr>
      </w:pPr>
      <w:r w:rsidRPr="00C14B64">
        <w:rPr>
          <w:rFonts w:ascii="Arial" w:hAnsi="Arial" w:cs="Arial"/>
          <w:sz w:val="22"/>
          <w:szCs w:val="22"/>
        </w:rPr>
        <w:t xml:space="preserve">In Schülerlösung 2 wurde vermutlich der Zuwachs von </w:t>
      </w:r>
      <w:smartTag w:uri="urn:schemas-microsoft-com:office:smarttags" w:element="metricconverter">
        <w:smartTagPr>
          <w:attr w:name="ProductID" w:val="2 kg"/>
        </w:smartTagPr>
        <w:r w:rsidRPr="00C14B64">
          <w:rPr>
            <w:rFonts w:ascii="Arial" w:hAnsi="Arial" w:cs="Arial"/>
            <w:sz w:val="22"/>
            <w:szCs w:val="22"/>
          </w:rPr>
          <w:t>2 kg</w:t>
        </w:r>
      </w:smartTag>
      <w:r w:rsidRPr="00C14B64">
        <w:rPr>
          <w:rFonts w:ascii="Arial" w:hAnsi="Arial" w:cs="Arial"/>
          <w:sz w:val="22"/>
          <w:szCs w:val="22"/>
        </w:rPr>
        <w:t xml:space="preserve"> für die Masse zwischen den beiden letzten Spalten zum Preis aus der vorletzten Spalte addiert (30 + 2 = 32). Schülerinnen und Schüler, den dieser Fehler passiert, können z.</w:t>
      </w:r>
      <w:r w:rsidRPr="00C14B64">
        <w:rPr>
          <w:rFonts w:ascii="Arial" w:hAnsi="Arial" w:cs="Arial"/>
          <w:sz w:val="11"/>
          <w:szCs w:val="11"/>
        </w:rPr>
        <w:t> </w:t>
      </w:r>
      <w:r w:rsidRPr="00C14B64">
        <w:rPr>
          <w:rFonts w:ascii="Arial" w:hAnsi="Arial" w:cs="Arial"/>
          <w:sz w:val="22"/>
          <w:szCs w:val="22"/>
        </w:rPr>
        <w:t>B. aufgefordert werden, ihre Überlegungen anhand anderer, bereits ausgefüllter Spalten zu überprüfen. So werden sie die Fehlerhaftigkeit Ihrer ersten Annahme feststellen.</w:t>
      </w:r>
    </w:p>
    <w:p w:rsidR="00C14B64" w:rsidRPr="00C14B64" w:rsidRDefault="00C14B64" w:rsidP="00C14B64">
      <w:pPr>
        <w:spacing w:before="60"/>
        <w:rPr>
          <w:rFonts w:ascii="Arial" w:hAnsi="Arial" w:cs="Arial"/>
          <w:sz w:val="22"/>
          <w:szCs w:val="22"/>
        </w:rPr>
      </w:pPr>
    </w:p>
    <w:p w:rsidR="00C14B64" w:rsidRPr="00C14B64" w:rsidRDefault="00C14B64" w:rsidP="00C14B64">
      <w:pPr>
        <w:spacing w:before="60"/>
        <w:rPr>
          <w:rFonts w:ascii="Arial" w:hAnsi="Arial" w:cs="Arial"/>
          <w:sz w:val="22"/>
          <w:szCs w:val="22"/>
        </w:rPr>
      </w:pPr>
      <w:r w:rsidRPr="00C14B64">
        <w:rPr>
          <w:rFonts w:ascii="Arial" w:hAnsi="Arial" w:cs="Arial"/>
          <w:b/>
          <w:noProof/>
        </w:rPr>
        <w:drawing>
          <wp:inline distT="0" distB="0" distL="0" distR="0">
            <wp:extent cx="4433570" cy="520700"/>
            <wp:effectExtent l="0" t="0" r="5080" b="0"/>
            <wp:docPr id="2" name="Grafik 2" descr="Beschreibun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Beschreibung: 1.PNG"/>
                    <pic:cNvPicPr>
                      <a:picLocks noChangeAspect="1" noChangeArrowheads="1"/>
                    </pic:cNvPicPr>
                  </pic:nvPicPr>
                  <pic:blipFill>
                    <a:blip r:embed="rId10">
                      <a:extLst>
                        <a:ext uri="{28A0092B-C50C-407E-A947-70E740481C1C}">
                          <a14:useLocalDpi xmlns:a14="http://schemas.microsoft.com/office/drawing/2010/main" val="0"/>
                        </a:ext>
                      </a:extLst>
                    </a:blip>
                    <a:srcRect l="6062" t="58406" r="17062" b="13855"/>
                    <a:stretch>
                      <a:fillRect/>
                    </a:stretch>
                  </pic:blipFill>
                  <pic:spPr bwMode="auto">
                    <a:xfrm>
                      <a:off x="0" y="0"/>
                      <a:ext cx="4433570" cy="520700"/>
                    </a:xfrm>
                    <a:prstGeom prst="rect">
                      <a:avLst/>
                    </a:prstGeom>
                    <a:noFill/>
                    <a:ln>
                      <a:noFill/>
                    </a:ln>
                  </pic:spPr>
                </pic:pic>
              </a:graphicData>
            </a:graphic>
          </wp:inline>
        </w:drawing>
      </w:r>
    </w:p>
    <w:p w:rsidR="00C14B64" w:rsidRPr="00C14B64" w:rsidRDefault="00C14B64" w:rsidP="00C14B64">
      <w:pPr>
        <w:spacing w:before="60"/>
        <w:rPr>
          <w:rFonts w:ascii="Arial" w:hAnsi="Arial" w:cs="Arial"/>
          <w:sz w:val="22"/>
          <w:szCs w:val="22"/>
        </w:rPr>
      </w:pPr>
    </w:p>
    <w:p w:rsidR="00C14B64" w:rsidRPr="00C14B64" w:rsidRDefault="00C14B64" w:rsidP="00C14B64">
      <w:pPr>
        <w:spacing w:before="60"/>
        <w:rPr>
          <w:rFonts w:ascii="Arial" w:hAnsi="Arial" w:cs="Arial"/>
          <w:sz w:val="22"/>
          <w:szCs w:val="22"/>
        </w:rPr>
      </w:pPr>
      <w:r w:rsidRPr="00C14B64">
        <w:rPr>
          <w:rFonts w:ascii="Arial" w:hAnsi="Arial" w:cs="Arial"/>
          <w:sz w:val="22"/>
          <w:szCs w:val="22"/>
        </w:rPr>
        <w:t>Die dritte Schülerlösung könnte deshalb entstanden sein, weil fälschlicherweise der bisherige Zuwachs in der unteren Zeile einfach fortgesetzt wird, zunächst 5, dann 10 und schließlich 15. Eventuell ist es hilfreich in diesem Zusammenhang im Unterricht auf den Unterschied zwischen Zahlenreihen und Zuordnungen einzugehen.</w:t>
      </w:r>
    </w:p>
    <w:p w:rsidR="00C14B64" w:rsidRPr="00C14B64" w:rsidRDefault="00C14B64" w:rsidP="00C14B64">
      <w:pPr>
        <w:spacing w:before="60"/>
        <w:rPr>
          <w:rFonts w:ascii="Arial" w:hAnsi="Arial" w:cs="Arial"/>
          <w:sz w:val="22"/>
          <w:szCs w:val="22"/>
        </w:rPr>
      </w:pPr>
    </w:p>
    <w:p w:rsidR="00C14B64" w:rsidRPr="00C14B64" w:rsidRDefault="00C14B64" w:rsidP="00C14B64">
      <w:pPr>
        <w:spacing w:before="60"/>
        <w:rPr>
          <w:rFonts w:ascii="Arial" w:hAnsi="Arial" w:cs="Arial"/>
          <w:sz w:val="22"/>
          <w:szCs w:val="22"/>
        </w:rPr>
      </w:pPr>
      <w:r w:rsidRPr="00C14B64">
        <w:rPr>
          <w:rFonts w:ascii="Arial" w:hAnsi="Arial" w:cs="Arial"/>
          <w:sz w:val="22"/>
          <w:szCs w:val="22"/>
        </w:rPr>
        <w:lastRenderedPageBreak/>
        <w:t xml:space="preserve">Häufig werden proportionale Zuordnungen im Zusammenhang mit Modellierungen des Kontextes </w:t>
      </w:r>
      <w:r w:rsidRPr="00C14B64">
        <w:rPr>
          <w:rFonts w:ascii="Arial" w:hAnsi="Arial" w:cs="Arial"/>
          <w:i/>
          <w:sz w:val="22"/>
          <w:szCs w:val="22"/>
        </w:rPr>
        <w:t>Einkaufen</w:t>
      </w:r>
      <w:r w:rsidRPr="00C14B64">
        <w:rPr>
          <w:rFonts w:ascii="Arial" w:hAnsi="Arial" w:cs="Arial"/>
          <w:sz w:val="22"/>
          <w:szCs w:val="22"/>
        </w:rPr>
        <w:t xml:space="preserve"> verwendet, da viele Preise in bestimmten Bereichen proportional zur Anzahl oder Menge der Waren sind. Eventuelle Angebote oder Rabatte werden häufig in dieser Phase ignoriert, was bei einer ernsthaften Betrachtung des Kontextes bei Schülerinnen und Schülern zu Schwierigkeiten führen kann. Dies ist bei den vielen Aufgaben zu proportionalen Zuordnungen der Fall, da das Modell in den meisten Kontexten außerhalb bestimmter Intervalle an Grenzen stößt. </w:t>
      </w:r>
    </w:p>
    <w:p w:rsidR="00C14B64" w:rsidRPr="00C14B64" w:rsidRDefault="00C14B64" w:rsidP="00C14B64">
      <w:pPr>
        <w:spacing w:before="60"/>
        <w:rPr>
          <w:rFonts w:ascii="Arial" w:hAnsi="Arial" w:cs="Arial"/>
          <w:sz w:val="22"/>
          <w:szCs w:val="22"/>
        </w:rPr>
      </w:pPr>
      <w:r w:rsidRPr="00C14B64">
        <w:rPr>
          <w:rFonts w:ascii="Arial" w:hAnsi="Arial" w:cs="Arial"/>
          <w:sz w:val="22"/>
          <w:szCs w:val="22"/>
        </w:rPr>
        <w:t>Um den dadurch entstehenden gedanklichen Konflikt der Schülerinnen und Schüler zu lösen, muss explizit die Vereinfachung des Einkaufsproblems durch den Verzicht auf Rabatte und die Abgabe beliebiger Mengen in bestimmten Bereichen deutlich gemacht und diskutiert werden. Dann kann die Modellierung als proportionale Zuordnung sinnvoll sein. Es handelt sich aber um ein Modell, das die Realität nur in bestimmten Grenzen abbildet.</w:t>
      </w:r>
    </w:p>
    <w:p w:rsidR="00C14B64" w:rsidRPr="00C14B64" w:rsidRDefault="00C14B64" w:rsidP="00C14B64">
      <w:pPr>
        <w:spacing w:before="60"/>
        <w:rPr>
          <w:rFonts w:ascii="Arial" w:hAnsi="Arial" w:cs="Arial"/>
          <w:sz w:val="22"/>
          <w:szCs w:val="22"/>
        </w:rPr>
      </w:pPr>
      <w:r w:rsidRPr="00C14B64">
        <w:rPr>
          <w:rFonts w:ascii="Arial" w:hAnsi="Arial" w:cs="Arial"/>
          <w:sz w:val="22"/>
          <w:szCs w:val="22"/>
        </w:rPr>
        <w:t xml:space="preserve">Ein anderer Ansatz, zu einer sinnvollen Modellbildung zu kommen, ist, die Schülerinnen und Schüler auf der Basis eines Experiments das mathematische Modell der Proportionalität selbst entdecken zu lassen. Ein geeignetes Beispiel ist die Untersuchung des Gewichts von Münzen. Dazu wiegen die Schülerinnen und Schüler einige Münzstapel und können dann die Frage beantworten, wie schwer ein sehr hoher Münzstapel sein würde. Die Modellierung wird dann von den Schülerinnen und Schülern selbst entwickelt und verwendet. Auch Wechselkurse können sinnvoll mit proportionalen Zuordnungen modelliert werden. </w:t>
      </w:r>
    </w:p>
    <w:p w:rsidR="00C14B64" w:rsidRPr="00C14B64" w:rsidRDefault="00C14B64" w:rsidP="00C14B64">
      <w:pPr>
        <w:spacing w:before="60"/>
        <w:rPr>
          <w:rFonts w:ascii="Arial" w:hAnsi="Arial" w:cs="Arial"/>
          <w:sz w:val="22"/>
          <w:szCs w:val="22"/>
        </w:rPr>
      </w:pPr>
      <w:r w:rsidRPr="00C14B64">
        <w:rPr>
          <w:rFonts w:ascii="Arial" w:hAnsi="Arial" w:cs="Arial"/>
          <w:sz w:val="22"/>
          <w:szCs w:val="22"/>
        </w:rPr>
        <w:t xml:space="preserve">Zur Bearbeitung von proportionalen Zuordnungen im Unterricht sollte die entsprechende Modellierung thematisiert werden. Des Weiteren sind bei der Proportionalität die Vielfalt der mathematischen Eigenschaften wie Verhältnisgleichheit, </w:t>
      </w:r>
      <w:proofErr w:type="spellStart"/>
      <w:r w:rsidRPr="00C14B64">
        <w:rPr>
          <w:rFonts w:ascii="Arial" w:hAnsi="Arial" w:cs="Arial"/>
          <w:sz w:val="22"/>
          <w:szCs w:val="22"/>
        </w:rPr>
        <w:t>Quotientengleichheit</w:t>
      </w:r>
      <w:proofErr w:type="spellEnd"/>
      <w:r w:rsidRPr="00C14B64">
        <w:rPr>
          <w:rFonts w:ascii="Arial" w:hAnsi="Arial" w:cs="Arial"/>
          <w:sz w:val="22"/>
          <w:szCs w:val="22"/>
        </w:rPr>
        <w:t xml:space="preserve"> und Additivität sowie die unterschiedlichen Darstellungsformen als Text, Tabelle, Graph und Term zu thematisieren. </w:t>
      </w:r>
    </w:p>
    <w:p w:rsidR="00694A63" w:rsidRPr="00C14B64" w:rsidRDefault="00694A63" w:rsidP="00C14B64">
      <w:pPr>
        <w:pStyle w:val="IQB-Standard"/>
        <w:rPr>
          <w:rFonts w:cs="Arial"/>
          <w:sz w:val="22"/>
          <w:szCs w:val="22"/>
        </w:rPr>
      </w:pPr>
    </w:p>
    <w:sectPr w:rsidR="00694A63" w:rsidRPr="00C14B64" w:rsidSect="00DB65DC">
      <w:headerReference w:type="even" r:id="rId11"/>
      <w:headerReference w:type="default" r:id="rId12"/>
      <w:footerReference w:type="even" r:id="rId13"/>
      <w:footerReference w:type="default" r:id="rId14"/>
      <w:headerReference w:type="first" r:id="rId15"/>
      <w:footerReference w:type="first" r:id="rId16"/>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A12A6A90-A671-4AB4-BF65-2F16924D82B0}"/>
    <w:embedBold r:id="rId2" w:fontKey="{2DDCDF5D-444D-4E64-B5A3-A20C92EA55CB}"/>
    <w:embedItalic r:id="rId3" w:fontKey="{49CCF12C-02E9-4524-8512-3A13E1AA14AC}"/>
    <w:embedBoldItalic r:id="rId4" w:fontKey="{8C7962B4-ADFE-46F8-8899-B4F8C3245F7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
  </w:num>
  <w:num w:numId="3">
    <w:abstractNumId w:val="0"/>
  </w:num>
  <w:num w:numId="4">
    <w:abstractNumId w:val="8"/>
  </w:num>
  <w:num w:numId="5">
    <w:abstractNumId w:val="5"/>
  </w:num>
  <w:num w:numId="6">
    <w:abstractNumId w:val="6"/>
  </w:num>
  <w:num w:numId="7">
    <w:abstractNumId w:val="3"/>
  </w:num>
  <w:num w:numId="8">
    <w:abstractNumId w:val="1"/>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9873"/>
    <o:shapelayout v:ext="edit">
      <o:idmap v:ext="edit" data="1"/>
    </o:shapelayout>
  </w:shapeDefaults>
  <w:decimalSymbol w:val=","/>
  <w:listSeparator w:val=";"/>
  <w14:docId w14:val="7903D6E5"/>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F8B3E8-35F0-44C0-B0C0-93155B9F5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525</Words>
  <Characters>3467</Characters>
  <Application>Microsoft Office Word</Application>
  <DocSecurity>0</DocSecurity>
  <Lines>433</Lines>
  <Paragraphs>221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2025-06-03T14:12:00Z</dcterms:created>
  <dcterms:modified xsi:type="dcterms:W3CDTF">2025-06-03T14:12:00Z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